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2563EB"/>
          <w:sz w:val="18"/>
        </w:rPr>
        <w:t>RÉFÉRENTIEL OFFICIEL MINISTÉRIEL — SESSION 2026</w:t>
        <w:br/>
      </w:r>
      <w:r>
        <w:rPr>
          <w:rFonts w:ascii="Arial" w:hAnsi="Arial"/>
          <w:b/>
          <w:color w:val="0F172A"/>
          <w:sz w:val="34"/>
        </w:rPr>
        <w:t>Synthèse Officielle des 6 Blocs de Compétences — BTS MOS</w:t>
      </w:r>
    </w:p>
    <w:p>
      <w:pPr>
        <w:jc w:val="center"/>
      </w:pPr>
      <w:r>
        <w:rPr>
          <w:rFonts w:ascii="Arial" w:hAnsi="Arial"/>
          <w:i/>
          <w:color w:val="475569"/>
          <w:sz w:val="21"/>
        </w:rPr>
        <w:t>Décryptage des attendus réglementaires CNAPS et des compétences de management en sécurité privée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Diplôme / Épreuve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Guide Référentiel &amp; Synthèse Métier</w:t>
            </w:r>
          </w:p>
        </w:tc>
      </w:tr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Session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2026 (Référentiel National)</w:t>
            </w:r>
          </w:p>
        </w:tc>
      </w:tr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Cadre Réglementaire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BTS MOS • Référentiel Officiel • Session 2026</w:t>
            </w:r>
          </w:p>
        </w:tc>
      </w:tr>
    </w:tbl>
    <w:p/>
    <w:p>
      <w:pPr>
        <w:pStyle w:val="Heading1"/>
      </w:pPr>
      <w:r>
        <w:rPr>
          <w:rFonts w:ascii="Arial" w:hAnsi="Arial"/>
          <w:b/>
          <w:color w:val="1E40AF"/>
          <w:sz w:val="26"/>
        </w:rPr>
        <w:t>1. Structuration des Épreuves Certificatives &amp; Pôles de Compétences</w:t>
      </w:r>
    </w:p>
    <w:p>
      <w:r>
        <w:rPr>
          <w:i/>
          <w:color w:val="64748B"/>
          <w:sz w:val="19"/>
        </w:rPr>
        <w:t>Le titulaire du BTS MOS manage des équipes d'agents de sécurité, organise des prestations de surveillance et assure la relation client dans le respect strict du livre VI du CSI.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Élément Clé</w:t>
            </w:r>
          </w:p>
        </w:tc>
        <w:tc>
          <w:tcPr>
            <w:tcW w:type="dxa" w:w="3249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Phase / Domaine</w:t>
            </w:r>
          </w:p>
        </w:tc>
        <w:tc>
          <w:tcPr>
            <w:tcW w:type="dxa" w:w="3249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Attendus Officiels &amp; Critères</w:t>
            </w:r>
          </w:p>
        </w:tc>
      </w:tr>
      <w:tr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Bloc 1 (E4)</w:t>
            </w:r>
          </w:p>
        </w:tc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Préparation et continuité de la prestation</w:t>
            </w:r>
          </w:p>
        </w:tc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Analyse de risques, cahier des charges, planification des vacations d'agents</w:t>
            </w:r>
          </w:p>
        </w:tc>
      </w:tr>
      <w:tr>
        <w:tc>
          <w:tcPr>
            <w:tcW w:type="dxa" w:w="3249"/>
            <w:shd w:val="clear" w:color="auto" w:fill="F8FAFC"/>
          </w:tcPr>
          <w:p>
            <w:r>
              <w:rPr>
                <w:color w:val="1E293B"/>
                <w:sz w:val="18"/>
              </w:rPr>
              <w:t>Bloc 2 (E5)</w:t>
            </w:r>
          </w:p>
        </w:tc>
        <w:tc>
          <w:tcPr>
            <w:tcW w:type="dxa" w:w="3249"/>
            <w:shd w:val="clear" w:color="auto" w:fill="F8FAFC"/>
          </w:tcPr>
          <w:p>
            <w:r>
              <w:rPr>
                <w:color w:val="1E293B"/>
                <w:sz w:val="18"/>
              </w:rPr>
              <w:t>Gestion des ressources humaines en sécurité</w:t>
            </w:r>
          </w:p>
        </w:tc>
        <w:tc>
          <w:tcPr>
            <w:tcW w:type="dxa" w:w="3249"/>
            <w:shd w:val="clear" w:color="auto" w:fill="F8FAFC"/>
          </w:tcPr>
          <w:p>
            <w:r>
              <w:rPr>
                <w:color w:val="1E293B"/>
                <w:sz w:val="18"/>
              </w:rPr>
              <w:t>Recrutement, management opérationnel, formation continue SST/CQP, droit du travail</w:t>
            </w:r>
          </w:p>
        </w:tc>
      </w:tr>
      <w:tr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Bloc 3 (E6)</w:t>
            </w:r>
          </w:p>
        </w:tc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Gestion de la relation client &amp; Commercialisation</w:t>
            </w:r>
          </w:p>
        </w:tc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Réponse aux appels d'offres, négociation contractuelle, fidélisation client</w:t>
            </w:r>
          </w:p>
        </w:tc>
      </w:tr>
      <w:tr>
        <w:tc>
          <w:tcPr>
            <w:tcW w:type="dxa" w:w="3249"/>
            <w:shd w:val="clear" w:color="auto" w:fill="F8FAFC"/>
          </w:tcPr>
          <w:p>
            <w:r>
              <w:rPr>
                <w:color w:val="1E293B"/>
                <w:sz w:val="18"/>
              </w:rPr>
              <w:t>Bloc 4 (E2)</w:t>
            </w:r>
          </w:p>
        </w:tc>
        <w:tc>
          <w:tcPr>
            <w:tcW w:type="dxa" w:w="3249"/>
            <w:shd w:val="clear" w:color="auto" w:fill="F8FAFC"/>
          </w:tcPr>
          <w:p>
            <w:r>
              <w:rPr>
                <w:color w:val="1E293B"/>
                <w:sz w:val="18"/>
              </w:rPr>
              <w:t>Culture générale et expression</w:t>
            </w:r>
          </w:p>
        </w:tc>
        <w:tc>
          <w:tcPr>
            <w:tcW w:type="dxa" w:w="3249"/>
            <w:shd w:val="clear" w:color="auto" w:fill="F8FAFC"/>
          </w:tcPr>
          <w:p>
            <w:r>
              <w:rPr>
                <w:color w:val="1E293B"/>
                <w:sz w:val="18"/>
              </w:rPr>
              <w:t>Synthèse de documents et écriture personnelle sur les thèmes au programme</w:t>
            </w:r>
          </w:p>
        </w:tc>
      </w:tr>
      <w:tr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Bloc 5 (E3)</w:t>
            </w:r>
          </w:p>
        </w:tc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Langue vivante étrangère (Anglais)</w:t>
            </w:r>
          </w:p>
        </w:tc>
        <w:tc>
          <w:tcPr>
            <w:tcW w:type="dxa" w:w="3249"/>
            <w:shd w:val="clear" w:color="auto" w:fill="FFFFFF"/>
          </w:tcPr>
          <w:p>
            <w:r>
              <w:rPr>
                <w:color w:val="1E293B"/>
                <w:sz w:val="18"/>
              </w:rPr>
              <w:t>Compréhension et expression orale appliquée au secteur de la sécurité</w:t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